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1D19">
      <w:pPr>
        <w:spacing w:line="570" w:lineRule="exact"/>
        <w:jc w:val="center"/>
        <w:rPr>
          <w:rFonts w:hint="eastAsia"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黄石市202</w:t>
      </w:r>
      <w:r>
        <w:rPr>
          <w:rFonts w:hint="eastAsia" w:ascii="方正小标宋_GBK" w:hAnsi="宋体" w:eastAsia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宋体" w:eastAsia="方正小标宋_GBK"/>
          <w:sz w:val="40"/>
          <w:szCs w:val="40"/>
        </w:rPr>
        <w:t>年电力负荷管理方案</w:t>
      </w:r>
    </w:p>
    <w:p w14:paraId="249B9E87">
      <w:pPr>
        <w:pStyle w:val="2"/>
        <w:spacing w:after="0" w:line="570" w:lineRule="exact"/>
      </w:pPr>
    </w:p>
    <w:p w14:paraId="2CA8F651">
      <w:pPr>
        <w:spacing w:line="57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为积极应对迎峰度夏（度冬）可能出现电力供应紧张形势，切实保民生、保公益、保重点、保发展、保安全、保稳定，确保黄石电网安全稳定运行，根据国家相关法律法规、《电力负荷管理办法（2023年版）》（发改运行〔2023〕1261号），结合黄石电网实际，制定本方案。</w:t>
      </w:r>
    </w:p>
    <w:p w14:paraId="6DBC755D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一、负荷管理方案编制原则</w:t>
      </w:r>
    </w:p>
    <w:p w14:paraId="044CD2DB">
      <w:pPr>
        <w:spacing w:line="57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（一）政府主导、履行职责。</w:t>
      </w:r>
      <w:r>
        <w:rPr>
          <w:rFonts w:hint="eastAsia" w:ascii="方正仿宋_GBK" w:hAnsi="方正仿宋_GBK" w:eastAsia="方正仿宋_GBK" w:cs="方正仿宋_GBK"/>
          <w:szCs w:val="32"/>
        </w:rPr>
        <w:t>坚持各级人民政府为主导，主管部门组织协调，发电企业有效配合，电网企业作为重要实施主体，指导电力客户落实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Cs w:val="32"/>
        </w:rPr>
        <w:t>级负荷管理、有序用电措施。</w:t>
      </w:r>
    </w:p>
    <w:p w14:paraId="4C43C138">
      <w:pPr>
        <w:spacing w:line="57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（二）安全稳定、统筹兼顾。</w:t>
      </w:r>
      <w:r>
        <w:rPr>
          <w:rFonts w:hint="eastAsia" w:ascii="方正仿宋_GBK" w:hAnsi="方正仿宋_GBK" w:eastAsia="方正仿宋_GBK" w:cs="方正仿宋_GBK"/>
          <w:szCs w:val="32"/>
        </w:rPr>
        <w:t>综合考虑地区经济结构、电网负荷特性和用电构成等因素，合理均衡采取负荷管理措施，统筹全社会整体效益，确保电网运行稳定、电力用户人身和设备安全。</w:t>
      </w:r>
    </w:p>
    <w:p w14:paraId="69519653">
      <w:pPr>
        <w:spacing w:line="57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（三）产业引导、有保有限。</w:t>
      </w:r>
      <w:r>
        <w:rPr>
          <w:rFonts w:hint="eastAsia" w:ascii="方正仿宋_GBK" w:hAnsi="方正仿宋_GBK" w:eastAsia="方正仿宋_GBK" w:cs="方正仿宋_GBK"/>
          <w:szCs w:val="32"/>
        </w:rPr>
        <w:t>根据国家产业政策和节能环保政策，结合企业负荷特性，要求实施负荷管理、有序用电过程中，首先限制“两高”项目用电。切实保障居民生活和涉及公众利益、国家安全的重要客户用电供应。</w:t>
      </w:r>
    </w:p>
    <w:p w14:paraId="7A795DA7">
      <w:pPr>
        <w:spacing w:line="57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（四）快速响应、规范实施。</w:t>
      </w:r>
      <w:r>
        <w:rPr>
          <w:rFonts w:hint="eastAsia" w:ascii="方正仿宋_GBK" w:hAnsi="方正仿宋_GBK" w:eastAsia="方正仿宋_GBK" w:cs="方正仿宋_GBK"/>
          <w:szCs w:val="32"/>
        </w:rPr>
        <w:t>完善负荷管理以及有序用电机制，精心组织、科学调度、快速响应，努力做到限电不拉闸，确保不拉公网居民用电。进一步加强电力供需平衡预测，提升应急响应能力，细化用电负荷控制措施，确保负荷管理各项措施落实到位。</w:t>
      </w:r>
    </w:p>
    <w:p w14:paraId="33F79544">
      <w:pPr>
        <w:spacing w:line="570" w:lineRule="exact"/>
        <w:ind w:firstLine="640" w:firstLineChars="200"/>
        <w:textAlignment w:val="baseline"/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  <w:t>二、电力供需形势</w:t>
      </w:r>
    </w:p>
    <w:p w14:paraId="12193A07">
      <w:pPr>
        <w:spacing w:line="57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2026年，黄石主网新投运两条220千伏线路（500kV铜都变配套），2026年黄石地区供电能力由340万千瓦上升到380万千瓦，结合新能源，午间最大供电能力为500万千瓦，晚间最大供电能力为410万千瓦。综合地区社会经济发展趋势，预计2026年全年地区最大用电需求将达340-355万千瓦（较2025年增长7～21万千瓦，增长率2～6.51%），因此，大负荷期间全接线正常运行方式下，全网电力供应基本充裕，但局部变电站、高压线路或电网异常情况下仍存在重过载的风险。</w:t>
      </w:r>
    </w:p>
    <w:p w14:paraId="40B095ED">
      <w:pPr>
        <w:spacing w:line="570" w:lineRule="exact"/>
        <w:ind w:firstLine="640" w:firstLineChars="200"/>
        <w:textAlignment w:val="baseline"/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  <w:t>三、负荷管理实施安排</w:t>
      </w:r>
    </w:p>
    <w:p w14:paraId="11CE8FE8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根据国家发改委《关于切实做好有“两高”项目有序用电的通知》要求，要优先限制“两高”项目用电，原则上应剔除“六保”用户，科学足额制定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不低于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历史最大负荷的5%、10%、15%、20%、25%、30%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六级负荷管理（有序用电）方案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。其中：</w:t>
      </w:r>
    </w:p>
    <w:p w14:paraId="56744B25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第Ⅵ级：33.64万千瓦电力负荷；</w:t>
      </w:r>
    </w:p>
    <w:p w14:paraId="2F1EA683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第Ⅴ级：46.87万千瓦电力负荷；</w:t>
      </w:r>
    </w:p>
    <w:p w14:paraId="0BFEB03B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级：70.3万千瓦电力负荷；</w:t>
      </w:r>
    </w:p>
    <w:p w14:paraId="49309412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级：93.73万千瓦电力负荷；</w:t>
      </w:r>
    </w:p>
    <w:p w14:paraId="02C7AAFE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Ⅱ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级：117.17万千瓦电力负荷；</w:t>
      </w:r>
    </w:p>
    <w:p w14:paraId="06D36400">
      <w:pPr>
        <w:pStyle w:val="5"/>
        <w:widowControl w:val="0"/>
        <w:spacing w:before="0" w:beforeAutospacing="0" w:after="0" w:afterAutospacing="0" w:line="57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第I级：140.6万千瓦电力负荷。</w:t>
      </w:r>
    </w:p>
    <w:p w14:paraId="3DF1D241">
      <w:pPr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四、负荷管理方案</w:t>
      </w:r>
    </w:p>
    <w:p w14:paraId="33F53DE3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根据黄石地区电力电量平衡、电煤库存、电煤调入等情况，精心组织，科学调度，按照日节煤量编制负荷管理方案，实行调控负荷措施。本方案共涉及各类高压用户共5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Cs w:val="32"/>
        </w:rPr>
        <w:t>户，实施过程中根据电煤库存变化情况适时调整参与用户名单。</w:t>
      </w:r>
    </w:p>
    <w:p w14:paraId="78079458"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（一）实施范围</w:t>
      </w:r>
    </w:p>
    <w:p w14:paraId="5C52E83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本轮负荷管理以除“六保”以外的高压用户为主要实施对象，</w:t>
      </w:r>
      <w:r>
        <w:rPr>
          <w:rFonts w:hint="eastAsia" w:ascii="方正仿宋_GBK" w:hAnsi="方正仿宋_GBK" w:eastAsia="方正仿宋_GBK" w:cs="方正仿宋_GBK"/>
          <w:b/>
          <w:bCs/>
          <w:szCs w:val="32"/>
        </w:rPr>
        <w:t>优先安排传统高耗能企业轮休轮停，</w:t>
      </w:r>
      <w:r>
        <w:rPr>
          <w:rFonts w:hint="eastAsia" w:ascii="方正仿宋_GBK" w:hAnsi="方正仿宋_GBK" w:eastAsia="方正仿宋_GBK" w:cs="方正仿宋_GBK"/>
          <w:szCs w:val="32"/>
        </w:rPr>
        <w:t>“六保”用户按照国家发改委《负荷管理管理办法》规定如下：</w:t>
      </w:r>
    </w:p>
    <w:p w14:paraId="5B2FF012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应急指挥和处置部门，主要党政军机关，广播、电视、电信、交通、监狱等关系国家安全和社会秩序的用户；</w:t>
      </w:r>
    </w:p>
    <w:p w14:paraId="71D57FA7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危险化学品生产、矿井等停电将导致重大人身伤害或设备严重损坏企业的保安负荷；</w:t>
      </w:r>
    </w:p>
    <w:p w14:paraId="384A2886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重大社会活动场所、医院、金融机构、学校等关系群众生命财产安全的用户；</w:t>
      </w:r>
    </w:p>
    <w:p w14:paraId="728805FC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供水、供热、供能等基础设施用户；</w:t>
      </w:r>
    </w:p>
    <w:p w14:paraId="035FD197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居民生活，排灌、化肥生产等农业生产用电；</w:t>
      </w:r>
    </w:p>
    <w:p w14:paraId="7CA15A2E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国家重点工程、军工企业。</w:t>
      </w:r>
    </w:p>
    <w:p w14:paraId="2B8C1309"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（二）执行方式</w:t>
      </w:r>
    </w:p>
    <w:p w14:paraId="1F5EE417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结合全市电力供需、电煤库存变化情况，及时启动相应级别的负荷管理方案。</w:t>
      </w:r>
    </w:p>
    <w:p w14:paraId="4442E6E1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Ⅵ级方案</w:t>
      </w:r>
      <w:r>
        <w:rPr>
          <w:rFonts w:hint="eastAsia" w:ascii="方正仿宋_GBK" w:hAnsi="方正仿宋_GBK" w:eastAsia="方正仿宋_GBK" w:cs="方正仿宋_GBK"/>
          <w:szCs w:val="32"/>
        </w:rPr>
        <w:t>：对94户高压用户实行调控负荷措施，日均调控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33.64</w:t>
      </w:r>
      <w:r>
        <w:rPr>
          <w:rFonts w:hint="eastAsia" w:ascii="方正仿宋_GBK" w:hAnsi="方正仿宋_GBK" w:eastAsia="方正仿宋_GBK" w:cs="方正仿宋_GBK"/>
          <w:szCs w:val="32"/>
        </w:rPr>
        <w:t>万千瓦，平均压限比例为2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.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szCs w:val="32"/>
        </w:rPr>
        <w:t>%。其中：市重点每日压限比例20%；主要高能耗企业（有色、水泥、玻璃、化工等无法全停企业）每日压降电量40%；一般高能耗企业每日压降电量45%；铝型材、模具钢产业每日压降电量50%；大用户、纺织、铸造及其他产业每日压降电量30%。</w:t>
      </w:r>
    </w:p>
    <w:p w14:paraId="213F58DD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Ⅴ</w:t>
      </w:r>
      <w:r>
        <w:rPr>
          <w:rFonts w:hint="eastAsia" w:ascii="方正仿宋_GBK" w:hAnsi="方正仿宋_GBK" w:eastAsia="方正仿宋_GBK" w:cs="方正仿宋_GBK"/>
          <w:b/>
          <w:bCs/>
          <w:szCs w:val="32"/>
        </w:rPr>
        <w:t>级方案</w:t>
      </w:r>
      <w:r>
        <w:rPr>
          <w:rFonts w:hint="eastAsia" w:ascii="方正仿宋_GBK" w:hAnsi="方正仿宋_GBK" w:eastAsia="方正仿宋_GBK" w:cs="方正仿宋_GBK"/>
          <w:szCs w:val="32"/>
        </w:rPr>
        <w:t>：对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256</w:t>
      </w:r>
      <w:r>
        <w:rPr>
          <w:rFonts w:hint="eastAsia" w:ascii="方正仿宋_GBK" w:hAnsi="方正仿宋_GBK" w:eastAsia="方正仿宋_GBK" w:cs="方正仿宋_GBK"/>
          <w:szCs w:val="32"/>
        </w:rPr>
        <w:t>户高压用户实行调控负荷措施，日均调控4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.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87</w:t>
      </w:r>
      <w:r>
        <w:rPr>
          <w:rFonts w:hint="eastAsia" w:ascii="方正仿宋_GBK" w:hAnsi="方正仿宋_GBK" w:eastAsia="方正仿宋_GBK" w:cs="方正仿宋_GBK"/>
          <w:szCs w:val="32"/>
        </w:rPr>
        <w:t>万千瓦，平均压限比例为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37</w:t>
      </w:r>
      <w:r>
        <w:rPr>
          <w:rFonts w:hint="eastAsia" w:ascii="方正仿宋_GBK" w:hAnsi="方正仿宋_GBK" w:eastAsia="方正仿宋_GBK" w:cs="方正仿宋_GBK"/>
          <w:szCs w:val="32"/>
        </w:rPr>
        <w:t>.50%。其中：市重点每日压限比例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Cs w:val="32"/>
        </w:rPr>
        <w:t>%；主要高能耗企业（有色、水泥、玻璃、化工等无法全停企业）每日压降电量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0%；一般高能耗企业每日压降电量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Cs w:val="32"/>
        </w:rPr>
        <w:t>0%；铝型材、模具钢产业每日压降电量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Cs w:val="32"/>
        </w:rPr>
        <w:t>%；大用户、纺织、铸造及其他产业每日压降电量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55</w:t>
      </w:r>
      <w:r>
        <w:rPr>
          <w:rFonts w:hint="eastAsia" w:ascii="方正仿宋_GBK" w:hAnsi="方正仿宋_GBK" w:eastAsia="方正仿宋_GBK" w:cs="方正仿宋_GBK"/>
          <w:szCs w:val="32"/>
        </w:rPr>
        <w:t>%。</w:t>
      </w:r>
    </w:p>
    <w:p w14:paraId="09B0432A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Ⅳ级方案</w:t>
      </w:r>
      <w:r>
        <w:rPr>
          <w:rFonts w:hint="eastAsia" w:ascii="方正仿宋_GBK" w:hAnsi="方正仿宋_GBK" w:eastAsia="方正仿宋_GBK" w:cs="方正仿宋_GBK"/>
          <w:szCs w:val="32"/>
        </w:rPr>
        <w:t>：对258户高压用户实行调控负荷措施，日均调控70.3万千瓦，平均压限比例为5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</w:rPr>
        <w:t>.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szCs w:val="32"/>
        </w:rPr>
        <w:t>%。其中：市重点每日压限比例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Cs w:val="32"/>
        </w:rPr>
        <w:t>%；主要高能耗企业（有色、水泥、玻璃、化工等无法全停企业）每日压降电量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70</w:t>
      </w:r>
      <w:r>
        <w:rPr>
          <w:rFonts w:hint="eastAsia" w:ascii="方正仿宋_GBK" w:hAnsi="方正仿宋_GBK" w:eastAsia="方正仿宋_GBK" w:cs="方正仿宋_GBK"/>
          <w:szCs w:val="32"/>
        </w:rPr>
        <w:t>%；一般高能耗企业每日压降电量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5%；铝型材、模具钢产业每日压降电量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5%；大用户、纺织、铸造及其他产业每日压降电量6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Cs w:val="32"/>
        </w:rPr>
        <w:t>%。</w:t>
      </w:r>
    </w:p>
    <w:p w14:paraId="0FA3E3E6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Ⅲ级方案</w:t>
      </w:r>
      <w:r>
        <w:rPr>
          <w:rFonts w:hint="eastAsia" w:ascii="方正仿宋_GBK" w:hAnsi="方正仿宋_GBK" w:eastAsia="方正仿宋_GBK" w:cs="方正仿宋_GBK"/>
          <w:szCs w:val="32"/>
        </w:rPr>
        <w:t>：对320户高压用户实行调控负荷措施，日均调控93.73万千瓦，平均压限比例为6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Cs w:val="32"/>
        </w:rPr>
        <w:t>.72%。其中：市重点每日压限比例6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Cs w:val="32"/>
        </w:rPr>
        <w:t>%；主要高能耗企业（有色、水泥、玻璃、化工等无法全停企业）每日压降电量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szCs w:val="32"/>
        </w:rPr>
        <w:t>%；一般高能耗企业每日压降电量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szCs w:val="32"/>
        </w:rPr>
        <w:t>%；铝型材、模具钢产业每日压降电量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szCs w:val="32"/>
        </w:rPr>
        <w:t>%；大用户、纺织、铸造及其他产业每日压降电量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65</w:t>
      </w:r>
      <w:r>
        <w:rPr>
          <w:rFonts w:hint="eastAsia" w:ascii="方正仿宋_GBK" w:hAnsi="方正仿宋_GBK" w:eastAsia="方正仿宋_GBK" w:cs="方正仿宋_GBK"/>
          <w:szCs w:val="32"/>
        </w:rPr>
        <w:t>%。</w:t>
      </w:r>
    </w:p>
    <w:p w14:paraId="74D3F734">
      <w:pPr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Ⅱ级方案</w:t>
      </w:r>
      <w:r>
        <w:rPr>
          <w:rFonts w:hint="eastAsia" w:ascii="方正仿宋_GBK" w:hAnsi="方正仿宋_GBK" w:eastAsia="方正仿宋_GBK" w:cs="方正仿宋_GBK"/>
          <w:szCs w:val="32"/>
        </w:rPr>
        <w:t>：对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347</w:t>
      </w:r>
      <w:r>
        <w:rPr>
          <w:rFonts w:hint="eastAsia" w:ascii="方正仿宋_GBK" w:hAnsi="方正仿宋_GBK" w:eastAsia="方正仿宋_GBK" w:cs="方正仿宋_GBK"/>
          <w:szCs w:val="32"/>
        </w:rPr>
        <w:t>户高压用户实行调控负荷措施，日均调控117.17万千瓦，平均压限比例为8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Cs w:val="32"/>
        </w:rPr>
        <w:t>.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Cs w:val="32"/>
        </w:rPr>
        <w:t>%。其中：市重点每日压限比例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szCs w:val="32"/>
        </w:rPr>
        <w:t>%；主要高能耗企业（有色、水泥、玻璃、化工等无法全停企业）每日压降电量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zCs w:val="32"/>
        </w:rPr>
        <w:t>%；一般高能耗企业每日压降电量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zCs w:val="32"/>
        </w:rPr>
        <w:t>%；铝型材、模具钢产业每日压降电量90%；大用户、纺织、铸造及其他产业每日压降电量8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Cs w:val="32"/>
        </w:rPr>
        <w:t>%。</w:t>
      </w:r>
    </w:p>
    <w:p w14:paraId="43E68C80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Ⅰ</w:t>
      </w:r>
      <w:r>
        <w:rPr>
          <w:rFonts w:hint="eastAsia" w:ascii="方正仿宋_GBK" w:hAnsi="方正仿宋_GBK" w:eastAsia="方正仿宋_GBK" w:cs="方正仿宋_GBK"/>
          <w:b/>
          <w:bCs/>
          <w:szCs w:val="32"/>
        </w:rPr>
        <w:t>级方案</w:t>
      </w:r>
      <w:r>
        <w:rPr>
          <w:rFonts w:hint="eastAsia" w:ascii="方正仿宋_GBK" w:hAnsi="方正仿宋_GBK" w:eastAsia="方正仿宋_GBK" w:cs="方正仿宋_GBK"/>
          <w:szCs w:val="32"/>
        </w:rPr>
        <w:t>：对530户高压用户实行调控负荷措施，日均调控140.6万千瓦，平均压限比例为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96</w:t>
      </w:r>
      <w:r>
        <w:rPr>
          <w:rFonts w:hint="eastAsia" w:ascii="方正仿宋_GBK" w:hAnsi="方正仿宋_GBK" w:eastAsia="方正仿宋_GBK" w:cs="方正仿宋_GBK"/>
          <w:szCs w:val="32"/>
        </w:rPr>
        <w:t>.41%。其中：市重点每日压限比例95%；主要高能耗企业（有色、水泥、玻璃、化工等无法全停企业）每日压降电量100%；一般高能耗企业每日压降电量100%；铝型材、模具钢产业每日压降电量100%；大用户、纺织、铸造及其他产业每日压降电量100%。</w:t>
      </w:r>
    </w:p>
    <w:p w14:paraId="1CD3002E"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szCs w:val="32"/>
        </w:rPr>
      </w:pPr>
      <w:r>
        <w:rPr>
          <w:rFonts w:hint="eastAsia" w:ascii="方正楷体_GBK" w:hAnsi="方正楷体_GBK" w:eastAsia="方正楷体_GBK" w:cs="方正楷体_GBK"/>
          <w:b/>
          <w:szCs w:val="32"/>
        </w:rPr>
        <w:t>（三）方案执行</w:t>
      </w:r>
    </w:p>
    <w:p w14:paraId="548746D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负荷管理执行期间，各县（市）供电企业通过用电信息采集等系统动态监测用户日节电量，若当日压减电量低于目标值的95%时，及时查明原因，并向本地电力运行主管部门报告，促请政府监督用户，并按政府要求采取措施。对拒不执行有序有电措施的，由政府部门下达行政指令，供电公司负责执行。</w:t>
      </w:r>
    </w:p>
    <w:p w14:paraId="4AF387C1">
      <w:pPr>
        <w:spacing w:line="600" w:lineRule="exact"/>
        <w:ind w:firstLine="640" w:firstLineChars="200"/>
        <w:textAlignment w:val="baseline"/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  <w:t>五、组织实施</w:t>
      </w:r>
    </w:p>
    <w:p w14:paraId="7121E349">
      <w:pPr>
        <w:pStyle w:val="5"/>
        <w:widowControl w:val="0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</w:rPr>
        <w:t>（一）预警发布</w:t>
      </w:r>
    </w:p>
    <w:p w14:paraId="4674D291">
      <w:pPr>
        <w:pStyle w:val="2"/>
        <w:spacing w:after="0"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根据电网实际电力缺口，报市经信局同意后启动相应级别的预案，发布预警信息，并适时调整、提升预警和响应级别。有关</w:t>
      </w:r>
      <w:r>
        <w:rPr>
          <w:rFonts w:hint="eastAsia" w:ascii="方正仿宋_GBK" w:hAnsi="方正仿宋_GBK" w:eastAsia="方正仿宋_GBK" w:cs="方正仿宋_GBK"/>
          <w:spacing w:val="6"/>
          <w:szCs w:val="32"/>
        </w:rPr>
        <w:t>重要电力用户要及时检查备用和保安电源，落实各项安全保障措施。</w:t>
      </w:r>
    </w:p>
    <w:p w14:paraId="2C90F2EA">
      <w:pPr>
        <w:pStyle w:val="5"/>
        <w:widowControl w:val="0"/>
        <w:spacing w:before="0" w:beforeAutospacing="0" w:after="0" w:afterAutospacing="0" w:line="600" w:lineRule="exact"/>
        <w:ind w:firstLine="643" w:firstLineChars="200"/>
        <w:jc w:val="both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</w:rPr>
        <w:t>（二）分级管理</w:t>
      </w:r>
    </w:p>
    <w:p w14:paraId="64EE1825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按照属地负责的原则，结合辖区电力供需平衡情况，将负荷调控指标和调控措施分解下达县（市、区）和直供用户，并严格按照下达的指标执行，确保负荷管理责任和措施落实到位。</w:t>
      </w:r>
    </w:p>
    <w:p w14:paraId="76830859">
      <w:pPr>
        <w:spacing w:line="600" w:lineRule="exact"/>
        <w:ind w:firstLine="640" w:firstLineChars="200"/>
        <w:textAlignment w:val="baseline"/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color w:val="auto"/>
          <w:szCs w:val="32"/>
        </w:rPr>
        <w:t>六、工作要求</w:t>
      </w:r>
    </w:p>
    <w:p w14:paraId="3C5F3E3C">
      <w:pPr>
        <w:pStyle w:val="9"/>
        <w:autoSpaceDE/>
        <w:autoSpaceDN/>
        <w:spacing w:line="600" w:lineRule="exact"/>
        <w:ind w:firstLine="643"/>
        <w:textAlignment w:val="baseline"/>
        <w:rPr>
          <w:rFonts w:hint="eastAsia" w:ascii="方正仿宋_GBK" w:hAnsi="方正仿宋_GBK" w:eastAsia="方正仿宋_GBK" w:cs="方正仿宋_GBK"/>
          <w:kern w:val="2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</w:rPr>
        <w:t>（一）完善工作机制。</w:t>
      </w:r>
      <w:r>
        <w:rPr>
          <w:rFonts w:hint="eastAsia" w:ascii="方正仿宋_GBK" w:hAnsi="方正仿宋_GBK" w:eastAsia="方正仿宋_GBK" w:cs="方正仿宋_GBK"/>
          <w:kern w:val="2"/>
        </w:rPr>
        <w:t>坚持各级人民政府主导，主管部门组织协调，发电企业有效配合，供电企业组织实施，落实负荷管理各项措施。供电企业作为实施主体，应严格执行政府批准的负荷管理实施方案，加强电力需求侧管理，引导企业用户主动实施错峰用电和避峰用电。</w:t>
      </w:r>
    </w:p>
    <w:p w14:paraId="528670F8"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（二）规范执行程序。</w:t>
      </w:r>
      <w:r>
        <w:rPr>
          <w:rFonts w:hint="eastAsia" w:ascii="方正仿宋_GBK" w:hAnsi="方正仿宋_GBK" w:eastAsia="方正仿宋_GBK" w:cs="方正仿宋_GBK"/>
          <w:szCs w:val="32"/>
        </w:rPr>
        <w:t>供电企业要切实履行提前告知义务，通过公告、电话、短信、送达负荷管理通知单以及建立微信群等方式，及时通知需要停、限电及终止供电的电力用户。</w:t>
      </w:r>
    </w:p>
    <w:p w14:paraId="24F6466F"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（三）确保民生用电。</w:t>
      </w:r>
      <w:r>
        <w:rPr>
          <w:rFonts w:hint="eastAsia" w:ascii="方正仿宋_GBK" w:hAnsi="方正仿宋_GBK" w:eastAsia="方正仿宋_GBK" w:cs="方正仿宋_GBK"/>
          <w:szCs w:val="32"/>
        </w:rPr>
        <w:t>严格做好居民生活和重要用户供电保障，坚决杜绝涉及居民和重要用户的拉闸限电事件，非事故情况下禁止直接拉闸，不得以“负荷管理”、“有序用电”的名义对居民生活和重要用户实施拉闸限电。</w:t>
      </w:r>
    </w:p>
    <w:p w14:paraId="61FE3E54"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（四）加强信息报送。</w:t>
      </w:r>
      <w:r>
        <w:rPr>
          <w:rFonts w:hint="eastAsia" w:ascii="方正仿宋_GBK" w:hAnsi="方正仿宋_GBK" w:eastAsia="方正仿宋_GBK" w:cs="方正仿宋_GBK"/>
          <w:szCs w:val="32"/>
        </w:rPr>
        <w:t>负荷管理方案实施期间，各级供电企业应严格执行信息报送制度，每日开展负荷管理影响负荷、用电量等执行情况的统计工作，并及时报送本地电力运行主管部门。遇有重大事件及突发事件，应第一时间报告本地电力运行主管部门和上级供电企业。</w:t>
      </w:r>
    </w:p>
    <w:p w14:paraId="50102719">
      <w:pPr>
        <w:spacing w:line="600" w:lineRule="exact"/>
        <w:ind w:firstLine="643" w:firstLineChars="200"/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（五）强化宣传引导。</w:t>
      </w:r>
      <w:r>
        <w:rPr>
          <w:rFonts w:hint="eastAsia" w:ascii="方正仿宋_GBK" w:hAnsi="方正仿宋_GBK" w:eastAsia="方正仿宋_GBK" w:cs="方正仿宋_GBK"/>
          <w:szCs w:val="32"/>
        </w:rPr>
        <w:t>各地应组织媒体加强用电形势宣传，倡导电力用户响应号召，落实负荷管理的相关措施要求。切实加强舆情监测，注重新闻宣传，引导用户安全用电、科学用电和节约用电。</w:t>
      </w:r>
      <w:bookmarkStart w:id="0" w:name="_GoBack"/>
      <w:bookmarkEnd w:id="0"/>
    </w:p>
    <w:sectPr>
      <w:footerReference r:id="rId5" w:type="default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DC1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784C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784C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5DA61"/>
    <w:multiLevelType w:val="singleLevel"/>
    <w:tmpl w:val="3C65DA6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48AC4C7"/>
    <w:multiLevelType w:val="singleLevel"/>
    <w:tmpl w:val="448AC4C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M2E5MzFmOWRkMmNlZTBhODcxMTY3MDljNTYxN2QifQ=="/>
  </w:docVars>
  <w:rsids>
    <w:rsidRoot w:val="3657708B"/>
    <w:rsid w:val="000B29FA"/>
    <w:rsid w:val="002B1265"/>
    <w:rsid w:val="00396504"/>
    <w:rsid w:val="003A16A7"/>
    <w:rsid w:val="00594111"/>
    <w:rsid w:val="0060361C"/>
    <w:rsid w:val="008C7D2F"/>
    <w:rsid w:val="009E1475"/>
    <w:rsid w:val="00A1142F"/>
    <w:rsid w:val="00AA59B5"/>
    <w:rsid w:val="00BA187B"/>
    <w:rsid w:val="00BC316E"/>
    <w:rsid w:val="00D651E3"/>
    <w:rsid w:val="00E8230E"/>
    <w:rsid w:val="05562664"/>
    <w:rsid w:val="05D105D2"/>
    <w:rsid w:val="0A1134ED"/>
    <w:rsid w:val="0AF53A28"/>
    <w:rsid w:val="0C4D693C"/>
    <w:rsid w:val="0EF11437"/>
    <w:rsid w:val="0F7F4B79"/>
    <w:rsid w:val="0FD32F45"/>
    <w:rsid w:val="143A1F58"/>
    <w:rsid w:val="156A37F6"/>
    <w:rsid w:val="18F53F99"/>
    <w:rsid w:val="1D704495"/>
    <w:rsid w:val="1EA72655"/>
    <w:rsid w:val="1EDF0FEC"/>
    <w:rsid w:val="206800B8"/>
    <w:rsid w:val="22154F07"/>
    <w:rsid w:val="25B971CD"/>
    <w:rsid w:val="26BE0CCB"/>
    <w:rsid w:val="288B39B5"/>
    <w:rsid w:val="2A984510"/>
    <w:rsid w:val="2AEC2C73"/>
    <w:rsid w:val="2D713949"/>
    <w:rsid w:val="2DDB700B"/>
    <w:rsid w:val="2EF13843"/>
    <w:rsid w:val="2F3B1FE1"/>
    <w:rsid w:val="30052628"/>
    <w:rsid w:val="31D17DC5"/>
    <w:rsid w:val="328F3A11"/>
    <w:rsid w:val="34F66FDB"/>
    <w:rsid w:val="35083A4C"/>
    <w:rsid w:val="3657708B"/>
    <w:rsid w:val="371A3BBE"/>
    <w:rsid w:val="38A56FF4"/>
    <w:rsid w:val="38EE5A88"/>
    <w:rsid w:val="3CC145CD"/>
    <w:rsid w:val="3FBA151A"/>
    <w:rsid w:val="46BC167B"/>
    <w:rsid w:val="484236BA"/>
    <w:rsid w:val="484B1829"/>
    <w:rsid w:val="495901F5"/>
    <w:rsid w:val="4A592677"/>
    <w:rsid w:val="4BFDD043"/>
    <w:rsid w:val="502C5AFD"/>
    <w:rsid w:val="55C0070C"/>
    <w:rsid w:val="5EBE2084"/>
    <w:rsid w:val="601E4C48"/>
    <w:rsid w:val="61563B85"/>
    <w:rsid w:val="624E0CE1"/>
    <w:rsid w:val="64184275"/>
    <w:rsid w:val="678407CA"/>
    <w:rsid w:val="679A343B"/>
    <w:rsid w:val="67CD7D60"/>
    <w:rsid w:val="6C8B3AC8"/>
    <w:rsid w:val="6E7113BA"/>
    <w:rsid w:val="6F786348"/>
    <w:rsid w:val="6F7F17A4"/>
    <w:rsid w:val="70E83309"/>
    <w:rsid w:val="711600E3"/>
    <w:rsid w:val="73F01D12"/>
    <w:rsid w:val="799F35E0"/>
    <w:rsid w:val="7BFF0337"/>
    <w:rsid w:val="7C8B2662"/>
    <w:rsid w:val="7E377B22"/>
    <w:rsid w:val="FF358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8">
    <w:name w:val="Hyperlink"/>
    <w:qFormat/>
    <w:uiPriority w:val="99"/>
    <w:rPr>
      <w:color w:val="000000"/>
      <w:u w:val="none"/>
    </w:rPr>
  </w:style>
  <w:style w:type="paragraph" w:customStyle="1" w:styleId="9">
    <w:name w:val="正文格式"/>
    <w:basedOn w:val="1"/>
    <w:qFormat/>
    <w:uiPriority w:val="0"/>
    <w:pPr>
      <w:autoSpaceDE w:val="0"/>
      <w:autoSpaceDN w:val="0"/>
      <w:spacing w:line="586" w:lineRule="exact"/>
      <w:ind w:firstLine="640" w:firstLineChars="200"/>
    </w:pPr>
    <w:rPr>
      <w:rFonts w:ascii="仿宋_GB2312" w:hAnsi="仿宋_GB2312" w:cs="仿宋_GB2312"/>
      <w:kern w:val="21"/>
      <w:szCs w:val="32"/>
    </w:rPr>
  </w:style>
  <w:style w:type="character" w:customStyle="1" w:styleId="10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3241</Words>
  <Characters>3480</Characters>
  <Lines>25</Lines>
  <Paragraphs>7</Paragraphs>
  <TotalTime>3</TotalTime>
  <ScaleCrop>false</ScaleCrop>
  <LinksUpToDate>false</LinksUpToDate>
  <CharactersWithSpaces>3494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2025-04-17T11:03:00Z</dcterms:created>
  <dc:creator>兰雁</dc:creator>
  <cp:lastModifiedBy>uos</cp:lastModifiedBy>
  <cp:lastPrinted>2024-04-20T14:39:00Z</cp:lastPrinted>
  <dcterms:modified xsi:type="dcterms:W3CDTF">2026-07-03T09:53:01Z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1BEA89AFD375D3ADBF15476AEDD1CE68_43</vt:lpwstr>
  </property>
  <property fmtid="{D5CDD505-2E9C-101B-9397-08002B2CF9AE}" pid="4" name="KSOTemplateDocerSaveRecord">
    <vt:lpwstr>eyJoZGlkIjoiNmEwYzliYjZjNmZlYzI2YmY2NzEzNjk5NDM4MmU3OWMiLCJ1c2VySWQiOiIyMzA1MzM2MDMifQ==</vt:lpwstr>
  </property>
</Properties>
</file>